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686C" w14:textId="77777777" w:rsidR="00526E30" w:rsidRPr="004F4B43" w:rsidRDefault="00526E30" w:rsidP="00526E30">
      <w:pPr>
        <w:spacing w:after="240"/>
        <w:jc w:val="center"/>
        <w:rPr>
          <w:b/>
        </w:rPr>
      </w:pPr>
      <w:r w:rsidRPr="004F4B43">
        <w:rPr>
          <w:b/>
        </w:rPr>
        <w:t>Вопросы от представителей налогоплательщиков в рамках вебинара</w:t>
      </w:r>
      <w:r w:rsidR="00131A75" w:rsidRPr="004F4B43">
        <w:rPr>
          <w:b/>
        </w:rPr>
        <w:t>, проведенного 19.01.2021</w:t>
      </w:r>
      <w:r w:rsidRPr="004F4B43">
        <w:rPr>
          <w:b/>
        </w:rPr>
        <w:t xml:space="preserve"> на тему «</w:t>
      </w:r>
      <w:r w:rsidR="00131A75" w:rsidRPr="004F4B43">
        <w:rPr>
          <w:b/>
        </w:rPr>
        <w:t>Основные изменения налогового законодательства с 2021 года</w:t>
      </w:r>
      <w:r w:rsidRPr="004F4B43">
        <w:rPr>
          <w:b/>
        </w:rPr>
        <w:t>»</w:t>
      </w:r>
    </w:p>
    <w:p w14:paraId="1F47C038" w14:textId="77777777" w:rsidR="00066EFE" w:rsidRPr="004F4B43" w:rsidRDefault="006C66EE" w:rsidP="006C66EE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</w:pPr>
      <w:r w:rsidRPr="004F4B43">
        <w:t>Вопрос по пп.26 п.2 ст.149</w:t>
      </w:r>
      <w:r w:rsidR="00F020C0" w:rsidRPr="004F4B43">
        <w:t xml:space="preserve"> НК РФ: </w:t>
      </w:r>
      <w:r w:rsidRPr="004F4B43">
        <w:t xml:space="preserve">должны ли  </w:t>
      </w:r>
      <w:r w:rsidR="00823E9A" w:rsidRPr="004F4B43">
        <w:t xml:space="preserve">обновления к ПО и базам данным </w:t>
      </w:r>
      <w:r w:rsidRPr="004F4B43">
        <w:t>и дополнительные функциональные в</w:t>
      </w:r>
      <w:r w:rsidR="0095057F" w:rsidRPr="004F4B43">
        <w:t>озможности к ним быть включены</w:t>
      </w:r>
      <w:r w:rsidR="00C948A7" w:rsidRPr="004F4B43">
        <w:t xml:space="preserve"> единый реестр </w:t>
      </w:r>
      <w:r w:rsidRPr="004F4B43">
        <w:t>российских программ для электронных вы</w:t>
      </w:r>
      <w:r w:rsidR="00F020C0" w:rsidRPr="004F4B43">
        <w:t>числительных машин</w:t>
      </w:r>
      <w:r w:rsidR="00516453" w:rsidRPr="004F4B43">
        <w:t xml:space="preserve"> (далее – ЭВМ)</w:t>
      </w:r>
      <w:r w:rsidR="00F020C0" w:rsidRPr="004F4B43">
        <w:t xml:space="preserve"> и баз данных</w:t>
      </w:r>
      <w:r w:rsidR="000140D1" w:rsidRPr="004F4B43">
        <w:t>?</w:t>
      </w:r>
      <w:r w:rsidR="00DD22AE" w:rsidRPr="004F4B43">
        <w:t xml:space="preserve"> (</w:t>
      </w:r>
      <w:r w:rsidRPr="004F4B43">
        <w:t>Татьяна Феоктистова</w:t>
      </w:r>
      <w:r w:rsidR="00DD22AE" w:rsidRPr="004F4B43">
        <w:t xml:space="preserve">, </w:t>
      </w:r>
      <w:proofErr w:type="spellStart"/>
      <w:r w:rsidRPr="004F4B43">
        <w:t>tfeoktistova@nsc.media</w:t>
      </w:r>
      <w:proofErr w:type="spellEnd"/>
      <w:r w:rsidR="00DD22AE" w:rsidRPr="004F4B43">
        <w:t>)</w:t>
      </w:r>
      <w:r w:rsidR="00BE790C" w:rsidRPr="004F4B43">
        <w:t xml:space="preserve"> </w:t>
      </w:r>
    </w:p>
    <w:p w14:paraId="1EA5D4AD" w14:textId="77777777" w:rsidR="002C109D" w:rsidRPr="004F4B43" w:rsidRDefault="00AA1672" w:rsidP="00AA1672">
      <w:pPr>
        <w:pStyle w:val="a3"/>
        <w:ind w:left="0" w:firstLine="851"/>
        <w:contextualSpacing w:val="0"/>
        <w:jc w:val="both"/>
        <w:rPr>
          <w:color w:val="000000" w:themeColor="text1"/>
        </w:rPr>
      </w:pPr>
      <w:r w:rsidRPr="004F4B43">
        <w:rPr>
          <w:color w:val="000000" w:themeColor="text1"/>
        </w:rPr>
        <w:t>В соответствии с подпунктом 26 пункта 2 статьи 149 НК РФ не подлежит налогообложению (освобождается от налогообложения) реализация (а также передача, выполнение, оказание для собственных нужд) на территории Российской Федерации</w:t>
      </w:r>
    </w:p>
    <w:p w14:paraId="5ADCAA64" w14:textId="77777777" w:rsidR="002C109D" w:rsidRPr="004F4B43" w:rsidRDefault="00AA1672" w:rsidP="002E05FA">
      <w:pPr>
        <w:pStyle w:val="a3"/>
        <w:numPr>
          <w:ilvl w:val="0"/>
          <w:numId w:val="3"/>
        </w:numPr>
        <w:ind w:left="0" w:firstLine="426"/>
        <w:contextualSpacing w:val="0"/>
        <w:jc w:val="both"/>
        <w:rPr>
          <w:color w:val="000000" w:themeColor="text1"/>
        </w:rPr>
      </w:pPr>
      <w:r w:rsidRPr="004F4B43">
        <w:rPr>
          <w:color w:val="000000" w:themeColor="text1"/>
        </w:rPr>
        <w:t xml:space="preserve">исключительных прав  на программы для </w:t>
      </w:r>
      <w:r w:rsidR="002B6026" w:rsidRPr="004F4B43">
        <w:rPr>
          <w:color w:val="000000" w:themeColor="text1"/>
        </w:rPr>
        <w:t xml:space="preserve">ЭВМ </w:t>
      </w:r>
      <w:r w:rsidRPr="004F4B43">
        <w:rPr>
          <w:color w:val="000000" w:themeColor="text1"/>
        </w:rPr>
        <w:t xml:space="preserve">и базы данных, включенные в единый реестр российских программ для </w:t>
      </w:r>
      <w:r w:rsidR="002B6026" w:rsidRPr="004F4B43">
        <w:rPr>
          <w:color w:val="000000" w:themeColor="text1"/>
        </w:rPr>
        <w:t xml:space="preserve">ЭВМ </w:t>
      </w:r>
      <w:r w:rsidRPr="004F4B43">
        <w:rPr>
          <w:color w:val="000000" w:themeColor="text1"/>
        </w:rPr>
        <w:t>и баз данных</w:t>
      </w:r>
      <w:r w:rsidR="002B2E89" w:rsidRPr="004F4B43">
        <w:rPr>
          <w:color w:val="000000" w:themeColor="text1"/>
        </w:rPr>
        <w:t xml:space="preserve"> (далее – Реестр);</w:t>
      </w:r>
      <w:r w:rsidRPr="004F4B43">
        <w:rPr>
          <w:color w:val="000000" w:themeColor="text1"/>
        </w:rPr>
        <w:t xml:space="preserve"> </w:t>
      </w:r>
    </w:p>
    <w:p w14:paraId="5E81AB59" w14:textId="77777777" w:rsidR="00AA1672" w:rsidRPr="004F4B43" w:rsidRDefault="00AA1672" w:rsidP="002E05FA">
      <w:pPr>
        <w:pStyle w:val="a3"/>
        <w:numPr>
          <w:ilvl w:val="0"/>
          <w:numId w:val="3"/>
        </w:numPr>
        <w:ind w:left="0" w:firstLine="426"/>
        <w:contextualSpacing w:val="0"/>
        <w:jc w:val="both"/>
        <w:rPr>
          <w:color w:val="000000" w:themeColor="text1"/>
        </w:rPr>
      </w:pPr>
      <w:r w:rsidRPr="004F4B43">
        <w:rPr>
          <w:color w:val="000000" w:themeColor="text1"/>
        </w:rPr>
        <w:t>прав на использование таких программ и баз данных (включая обновления к ним и дополнительные функциональные возможности), в том числе путем предоставления удаленного доступа к ним через информационно-телекоммуникационную сеть "Интернет".</w:t>
      </w:r>
    </w:p>
    <w:p w14:paraId="2F975A30" w14:textId="77777777" w:rsidR="00E744F4" w:rsidRPr="004F4B43" w:rsidRDefault="00E744F4" w:rsidP="003A4D52">
      <w:pPr>
        <w:ind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 xml:space="preserve">Правила формирования и ведения Реестра утверждены Постановлением Правительства РФ от 16.11.2015 № 1236. </w:t>
      </w:r>
    </w:p>
    <w:p w14:paraId="5C6BA9A5" w14:textId="77777777" w:rsidR="00634106" w:rsidRPr="003A4B67" w:rsidRDefault="00634106" w:rsidP="00634106">
      <w:pPr>
        <w:shd w:val="clear" w:color="auto" w:fill="FFFFFF"/>
        <w:spacing w:line="285" w:lineRule="atLeast"/>
        <w:ind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>В соответствии со статьей 1261 ГК РФ программой для ЭВМ является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</w:t>
      </w:r>
    </w:p>
    <w:p w14:paraId="2958005A" w14:textId="77777777" w:rsidR="00F449AE" w:rsidRPr="004F4B43" w:rsidRDefault="0041573D" w:rsidP="00634106">
      <w:pPr>
        <w:shd w:val="clear" w:color="auto" w:fill="FFFFFF"/>
        <w:spacing w:line="285" w:lineRule="atLeast"/>
        <w:ind w:firstLine="709"/>
        <w:jc w:val="both"/>
        <w:rPr>
          <w:color w:val="000000" w:themeColor="text1"/>
        </w:rPr>
      </w:pPr>
      <w:r w:rsidRPr="003A4B67">
        <w:rPr>
          <w:color w:val="000000" w:themeColor="text1"/>
        </w:rPr>
        <w:t>Т</w:t>
      </w:r>
      <w:r w:rsidR="00450D97" w:rsidRPr="003A4B67">
        <w:rPr>
          <w:color w:val="000000" w:themeColor="text1"/>
        </w:rPr>
        <w:t>аким образом, включению в Р</w:t>
      </w:r>
      <w:r w:rsidRPr="003A4B67">
        <w:rPr>
          <w:color w:val="000000" w:themeColor="text1"/>
        </w:rPr>
        <w:t>еестр подлеж</w:t>
      </w:r>
      <w:r w:rsidR="00B93D19" w:rsidRPr="003A4B67">
        <w:rPr>
          <w:color w:val="000000" w:themeColor="text1"/>
        </w:rPr>
        <w:t>и</w:t>
      </w:r>
      <w:r w:rsidR="00885677" w:rsidRPr="003A4B67">
        <w:rPr>
          <w:color w:val="000000" w:themeColor="text1"/>
        </w:rPr>
        <w:t>т самостоятельное</w:t>
      </w:r>
      <w:r w:rsidRPr="003A4B67">
        <w:rPr>
          <w:color w:val="000000" w:themeColor="text1"/>
        </w:rPr>
        <w:t xml:space="preserve"> </w:t>
      </w:r>
      <w:r w:rsidR="00885677" w:rsidRPr="003A4B67">
        <w:rPr>
          <w:color w:val="000000" w:themeColor="text1"/>
        </w:rPr>
        <w:t xml:space="preserve">независимо функционирующее программное обеспечение – </w:t>
      </w:r>
      <w:r w:rsidRPr="003A4B67">
        <w:rPr>
          <w:color w:val="000000" w:themeColor="text1"/>
        </w:rPr>
        <w:t>программы для ЭВМ</w:t>
      </w:r>
      <w:r w:rsidR="005274D6" w:rsidRPr="003A4B67">
        <w:rPr>
          <w:color w:val="000000" w:themeColor="text1"/>
        </w:rPr>
        <w:t xml:space="preserve"> и базы данных, удовлетворяющие критериям Министерства цифрового развития, с</w:t>
      </w:r>
      <w:r w:rsidR="0074500C" w:rsidRPr="003A4B67">
        <w:rPr>
          <w:color w:val="000000" w:themeColor="text1"/>
        </w:rPr>
        <w:t xml:space="preserve">вязи и массовых коммуникаций РФ. </w:t>
      </w:r>
      <w:r w:rsidR="008004FB" w:rsidRPr="003A4B67">
        <w:rPr>
          <w:color w:val="000000" w:themeColor="text1"/>
        </w:rPr>
        <w:t>При принятии решения о подаче заявл</w:t>
      </w:r>
      <w:r w:rsidR="00A42AFA" w:rsidRPr="003A4B67">
        <w:rPr>
          <w:color w:val="000000" w:themeColor="text1"/>
        </w:rPr>
        <w:t>ения и документов на включение в</w:t>
      </w:r>
      <w:r w:rsidR="008004FB" w:rsidRPr="003A4B67">
        <w:rPr>
          <w:color w:val="000000" w:themeColor="text1"/>
        </w:rPr>
        <w:t xml:space="preserve"> Реестр н</w:t>
      </w:r>
      <w:r w:rsidR="0074500C" w:rsidRPr="003A4B67">
        <w:rPr>
          <w:color w:val="000000" w:themeColor="text1"/>
        </w:rPr>
        <w:t>еобходимо учитывать специфику каждого конкретного обновления и понимать, приводит ли то или иное обновление к созданию новой отдельной программы для ЭВМ.</w:t>
      </w:r>
    </w:p>
    <w:p w14:paraId="30123544" w14:textId="77777777" w:rsidR="0085026A" w:rsidRPr="004F4B43" w:rsidRDefault="0085026A" w:rsidP="00A63416">
      <w:pPr>
        <w:shd w:val="clear" w:color="auto" w:fill="FFFFFF"/>
        <w:spacing w:line="285" w:lineRule="atLeast"/>
        <w:ind w:firstLine="709"/>
        <w:jc w:val="both"/>
        <w:rPr>
          <w:color w:val="000000" w:themeColor="text1"/>
        </w:rPr>
      </w:pPr>
    </w:p>
    <w:p w14:paraId="459250DD" w14:textId="4A0CB5BE" w:rsidR="000140D1" w:rsidRPr="004F4B43" w:rsidRDefault="006F6082" w:rsidP="00270FCB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</w:pPr>
      <w:r w:rsidRPr="004F4B43">
        <w:t xml:space="preserve">Есть ли </w:t>
      </w:r>
      <w:bookmarkStart w:id="0" w:name="_GoBack"/>
      <w:bookmarkEnd w:id="0"/>
      <w:r w:rsidRPr="004F4B43">
        <w:t>утвержденная форма для расчета 90% доли дохода для целей применения льготы по страховым взносам</w:t>
      </w:r>
      <w:r w:rsidR="000140D1" w:rsidRPr="004F4B43">
        <w:t>?</w:t>
      </w:r>
      <w:r w:rsidR="003307E5" w:rsidRPr="004F4B43">
        <w:t xml:space="preserve"> (</w:t>
      </w:r>
      <w:r w:rsidR="00270FCB" w:rsidRPr="004F4B43">
        <w:t>Наталья Лысенко, n.lysenko@tinkoff.ru</w:t>
      </w:r>
      <w:r w:rsidR="003307E5" w:rsidRPr="004F4B43">
        <w:t>)</w:t>
      </w:r>
    </w:p>
    <w:p w14:paraId="1934FBFD" w14:textId="77777777" w:rsidR="00D92956" w:rsidRPr="004F4B43" w:rsidRDefault="00E162CD" w:rsidP="00D92956">
      <w:pPr>
        <w:pStyle w:val="a3"/>
        <w:spacing w:after="240"/>
        <w:ind w:left="0"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 xml:space="preserve">В настоящий момент специальная форма для расчета 90% доли дохода от </w:t>
      </w:r>
      <w:r w:rsidR="0071121D" w:rsidRPr="004F4B43">
        <w:rPr>
          <w:color w:val="000000" w:themeColor="text1"/>
        </w:rPr>
        <w:t xml:space="preserve">осуществления деятельности в области информационных технологий </w:t>
      </w:r>
      <w:r w:rsidRPr="004F4B43">
        <w:rPr>
          <w:color w:val="000000" w:themeColor="text1"/>
        </w:rPr>
        <w:t>не утверждена.</w:t>
      </w:r>
    </w:p>
    <w:p w14:paraId="20B3DA40" w14:textId="77777777" w:rsidR="00524C21" w:rsidRPr="004F4B43" w:rsidRDefault="00FB1C49" w:rsidP="00524C21">
      <w:pPr>
        <w:pStyle w:val="a3"/>
        <w:spacing w:after="240"/>
        <w:ind w:left="0"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>В соответствии с абзацем 12 пункта 5 статьи 427 НК РФ к</w:t>
      </w:r>
      <w:r w:rsidR="00524C21" w:rsidRPr="004F4B43">
        <w:rPr>
          <w:color w:val="000000" w:themeColor="text1"/>
        </w:rPr>
        <w:t>онтроль за соблюдением требований, установленных пунктом 5 статьи 427 НК РФ, осуществляется, в том числе, на основании отчетности, представляемой организациями, осуществляющими деятельность в области информационных технологий, в соответствии со статьей 431 НК РФ.</w:t>
      </w:r>
    </w:p>
    <w:p w14:paraId="2EC88BB6" w14:textId="77777777" w:rsidR="004C2F15" w:rsidRPr="004F4B43" w:rsidRDefault="004C2F15" w:rsidP="004C2F15">
      <w:pPr>
        <w:pStyle w:val="a3"/>
        <w:spacing w:after="240"/>
        <w:ind w:left="0"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>Напоминаем, что с расчетного периода 2020 года расчеты по страховым взносам представляются плательщиками в налоговые органы по обновленной форме в соответствии с приказом ФНС России от 15.10.2020 № ЕД-7-11/751@.</w:t>
      </w:r>
    </w:p>
    <w:p w14:paraId="5EA4A360" w14:textId="77777777" w:rsidR="004C2F15" w:rsidRPr="004F4B43" w:rsidRDefault="004C2F15" w:rsidP="00D92956">
      <w:pPr>
        <w:pStyle w:val="a3"/>
        <w:spacing w:after="240"/>
        <w:ind w:left="0"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>Приложение 5 «Расчет соответствия условиям применения пониженного тарифа страховых взносов плательщиками, указанными в подпункте 3 пункта 1 статьи 427 НК РФ к разделу 1»</w:t>
      </w:r>
      <w:r w:rsidR="000B5387" w:rsidRPr="004F4B43">
        <w:rPr>
          <w:color w:val="000000" w:themeColor="text1"/>
        </w:rPr>
        <w:t xml:space="preserve"> применяется для расчетного периода 2020 г.</w:t>
      </w:r>
    </w:p>
    <w:p w14:paraId="6D1C870B" w14:textId="77777777" w:rsidR="000B5387" w:rsidRPr="004F4B43" w:rsidRDefault="000B5387" w:rsidP="00D92956">
      <w:pPr>
        <w:pStyle w:val="a3"/>
        <w:spacing w:after="240"/>
        <w:ind w:left="0"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>Приложение 5.1 «Расчет соответствия условиям применения пониженного тарифа страховых взносов плательщиками, указанными в подпункте 3 (подпункте 18) пункта 1 статьи 427 Налогового кодекса Российской Федерации к разделу 1» применяется</w:t>
      </w:r>
      <w:r w:rsidR="007F7AB9" w:rsidRPr="004F4B43">
        <w:rPr>
          <w:color w:val="000000" w:themeColor="text1"/>
        </w:rPr>
        <w:t>,</w:t>
      </w:r>
      <w:r w:rsidRPr="004F4B43">
        <w:rPr>
          <w:color w:val="000000" w:themeColor="text1"/>
        </w:rPr>
        <w:t xml:space="preserve"> начиная с отчетного периода первый квартал 2021 г.</w:t>
      </w:r>
    </w:p>
    <w:p w14:paraId="7A75A3C8" w14:textId="77777777" w:rsidR="00C374CA" w:rsidRPr="004F4B43" w:rsidRDefault="00524C21" w:rsidP="00D92956">
      <w:pPr>
        <w:pStyle w:val="a3"/>
        <w:spacing w:after="240"/>
        <w:ind w:left="0"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>При определении одновременного выполнения всех условий, установленных пунктом 5 статьи 427 НК РФ,  налогоплательщики должны исходить из принципа добросовестности</w:t>
      </w:r>
      <w:r w:rsidR="00AF3EE8" w:rsidRPr="004F4B43">
        <w:rPr>
          <w:color w:val="000000" w:themeColor="text1"/>
        </w:rPr>
        <w:t xml:space="preserve"> </w:t>
      </w:r>
      <w:r w:rsidRPr="004F4B43">
        <w:rPr>
          <w:color w:val="000000" w:themeColor="text1"/>
        </w:rPr>
        <w:t xml:space="preserve">и </w:t>
      </w:r>
      <w:r w:rsidR="00880278" w:rsidRPr="004F4B43">
        <w:rPr>
          <w:color w:val="000000" w:themeColor="text1"/>
        </w:rPr>
        <w:lastRenderedPageBreak/>
        <w:t>учитывать, что</w:t>
      </w:r>
      <w:r w:rsidR="00AF3EE8" w:rsidRPr="004F4B43">
        <w:rPr>
          <w:color w:val="000000" w:themeColor="text1"/>
        </w:rPr>
        <w:t xml:space="preserve"> налоговые органы могут выявить нарушения при проведении</w:t>
      </w:r>
      <w:r w:rsidR="00B92517" w:rsidRPr="004F4B43">
        <w:rPr>
          <w:color w:val="000000" w:themeColor="text1"/>
        </w:rPr>
        <w:t xml:space="preserve"> мероприятий налогового контроля</w:t>
      </w:r>
      <w:r w:rsidR="00AF3EE8" w:rsidRPr="004F4B43">
        <w:rPr>
          <w:color w:val="000000" w:themeColor="text1"/>
        </w:rPr>
        <w:t>.</w:t>
      </w:r>
      <w:r w:rsidR="00C374CA" w:rsidRPr="004F4B43">
        <w:rPr>
          <w:color w:val="000000" w:themeColor="text1"/>
        </w:rPr>
        <w:t xml:space="preserve"> </w:t>
      </w:r>
    </w:p>
    <w:p w14:paraId="0E193A5A" w14:textId="77777777" w:rsidR="00D92956" w:rsidRPr="004F4B43" w:rsidRDefault="00D92956" w:rsidP="00D92956">
      <w:pPr>
        <w:pStyle w:val="a3"/>
        <w:spacing w:after="240"/>
        <w:ind w:left="0" w:firstLine="709"/>
        <w:jc w:val="both"/>
        <w:rPr>
          <w:color w:val="000000" w:themeColor="text1"/>
        </w:rPr>
      </w:pPr>
    </w:p>
    <w:p w14:paraId="78E04A8F" w14:textId="77777777" w:rsidR="001F5DC3" w:rsidRPr="004F4B43" w:rsidRDefault="00280E8A" w:rsidP="00061A8A">
      <w:pPr>
        <w:pStyle w:val="a3"/>
        <w:numPr>
          <w:ilvl w:val="0"/>
          <w:numId w:val="1"/>
        </w:numPr>
        <w:spacing w:after="200"/>
        <w:ind w:left="0" w:firstLine="709"/>
        <w:contextualSpacing w:val="0"/>
        <w:jc w:val="both"/>
      </w:pPr>
      <w:r w:rsidRPr="004F4B43">
        <w:t>Организация-р</w:t>
      </w:r>
      <w:r w:rsidR="00061A8A" w:rsidRPr="004F4B43">
        <w:t xml:space="preserve">езидент </w:t>
      </w:r>
      <w:r w:rsidR="00A2263C" w:rsidRPr="004F4B43">
        <w:t>«</w:t>
      </w:r>
      <w:r w:rsidR="00061A8A" w:rsidRPr="004F4B43">
        <w:t>Сколково</w:t>
      </w:r>
      <w:r w:rsidR="00A2263C" w:rsidRPr="004F4B43">
        <w:t>»</w:t>
      </w:r>
      <w:r w:rsidR="00061A8A" w:rsidRPr="004F4B43">
        <w:t xml:space="preserve"> и одновременно аккредитованная  IT компания. Нужно ли при выборе преференций  по страховым взносам специально уведо</w:t>
      </w:r>
      <w:r w:rsidR="00EE6DD2" w:rsidRPr="004F4B43">
        <w:t xml:space="preserve">млять налоговый </w:t>
      </w:r>
      <w:proofErr w:type="gramStart"/>
      <w:r w:rsidR="00EE6DD2" w:rsidRPr="004F4B43">
        <w:t>орган</w:t>
      </w:r>
      <w:proofErr w:type="gramEnd"/>
      <w:r w:rsidR="00061A8A" w:rsidRPr="004F4B43">
        <w:t xml:space="preserve"> и в </w:t>
      </w:r>
      <w:proofErr w:type="gramStart"/>
      <w:r w:rsidR="00061A8A" w:rsidRPr="004F4B43">
        <w:t>какой</w:t>
      </w:r>
      <w:proofErr w:type="gramEnd"/>
      <w:r w:rsidR="00061A8A" w:rsidRPr="004F4B43">
        <w:t xml:space="preserve"> форме</w:t>
      </w:r>
      <w:r w:rsidR="000140D1" w:rsidRPr="004F4B43">
        <w:t>?</w:t>
      </w:r>
      <w:r w:rsidR="003307E5" w:rsidRPr="004F4B43">
        <w:t xml:space="preserve"> </w:t>
      </w:r>
      <w:r w:rsidRPr="004F4B43">
        <w:t>(Наталья Лысенко, n.lysenko@tinkoff.ru)</w:t>
      </w:r>
    </w:p>
    <w:p w14:paraId="4F99552C" w14:textId="77777777" w:rsidR="001972B6" w:rsidRPr="004F4B43" w:rsidRDefault="00DA409D" w:rsidP="00DA409D">
      <w:pPr>
        <w:ind w:firstLine="709"/>
        <w:jc w:val="both"/>
      </w:pPr>
      <w:r w:rsidRPr="004F4B43">
        <w:rPr>
          <w:color w:val="000000" w:themeColor="text1"/>
        </w:rPr>
        <w:t>В настоящий момент</w:t>
      </w:r>
      <w:r w:rsidRPr="004F4B43">
        <w:t xml:space="preserve"> </w:t>
      </w:r>
      <w:r w:rsidR="00F64898" w:rsidRPr="004F4B43">
        <w:t>НК РФ не устанавливает обязанность налогоплательщиков уведомлять налоговые органы</w:t>
      </w:r>
      <w:r w:rsidR="001E5B2C" w:rsidRPr="004F4B43">
        <w:t xml:space="preserve"> о переходе на уплату страховых взносов по пониженным тарифам, </w:t>
      </w:r>
      <w:r w:rsidR="00305955" w:rsidRPr="004F4B43">
        <w:t>предусмотренным</w:t>
      </w:r>
      <w:r w:rsidR="001E5B2C" w:rsidRPr="004F4B43">
        <w:t xml:space="preserve"> статьей 427 НК РФ.</w:t>
      </w:r>
      <w:r w:rsidR="00F64898" w:rsidRPr="004F4B43">
        <w:t xml:space="preserve"> </w:t>
      </w:r>
    </w:p>
    <w:p w14:paraId="48655153" w14:textId="77777777" w:rsidR="00DA409D" w:rsidRPr="004F4B43" w:rsidRDefault="001E5B2C" w:rsidP="00DA409D">
      <w:pPr>
        <w:ind w:firstLine="709"/>
        <w:jc w:val="both"/>
      </w:pPr>
      <w:r w:rsidRPr="004F4B43">
        <w:t>Ф</w:t>
      </w:r>
      <w:r w:rsidR="00DA409D" w:rsidRPr="004F4B43">
        <w:t>орма уведомления о выборе конкретных преференций</w:t>
      </w:r>
      <w:r w:rsidR="0019039A" w:rsidRPr="004F4B43">
        <w:t xml:space="preserve"> организациями, получившими статус участника проекта «Сколково», и одновременно осуществляющими деятельность в области информационных технологий</w:t>
      </w:r>
      <w:r w:rsidR="00DA409D" w:rsidRPr="004F4B43">
        <w:t xml:space="preserve"> не утверждена. </w:t>
      </w:r>
    </w:p>
    <w:p w14:paraId="71EDBCE8" w14:textId="77777777" w:rsidR="004739ED" w:rsidRPr="004F4B43" w:rsidRDefault="000576BE" w:rsidP="00191FA0">
      <w:pPr>
        <w:ind w:firstLine="709"/>
        <w:jc w:val="both"/>
        <w:rPr>
          <w:color w:val="000000" w:themeColor="text1"/>
        </w:rPr>
      </w:pPr>
      <w:r w:rsidRPr="004F4B43">
        <w:rPr>
          <w:color w:val="000000" w:themeColor="text1"/>
        </w:rPr>
        <w:t xml:space="preserve">Аналогичное разъяснение содержит </w:t>
      </w:r>
      <w:r w:rsidR="00CC5C91" w:rsidRPr="004F4B43">
        <w:rPr>
          <w:color w:val="000000" w:themeColor="text1"/>
        </w:rPr>
        <w:t>письм</w:t>
      </w:r>
      <w:r w:rsidRPr="004F4B43">
        <w:rPr>
          <w:color w:val="000000" w:themeColor="text1"/>
        </w:rPr>
        <w:t>о</w:t>
      </w:r>
      <w:r w:rsidR="004739ED" w:rsidRPr="004F4B43">
        <w:rPr>
          <w:color w:val="000000" w:themeColor="text1"/>
        </w:rPr>
        <w:t xml:space="preserve"> Минфина России от 23.11.2020 </w:t>
      </w:r>
      <w:r w:rsidR="00CC5C91" w:rsidRPr="004F4B43">
        <w:rPr>
          <w:color w:val="000000" w:themeColor="text1"/>
        </w:rPr>
        <w:br/>
      </w:r>
      <w:r w:rsidR="004739ED" w:rsidRPr="004F4B43">
        <w:rPr>
          <w:color w:val="000000" w:themeColor="text1"/>
        </w:rPr>
        <w:t xml:space="preserve">№ 03-03-06/1/101948 </w:t>
      </w:r>
      <w:r w:rsidR="00D467EF" w:rsidRPr="004F4B43">
        <w:rPr>
          <w:color w:val="000000" w:themeColor="text1"/>
        </w:rPr>
        <w:t xml:space="preserve">– </w:t>
      </w:r>
      <w:r w:rsidR="001A5DDB" w:rsidRPr="004F4B43">
        <w:rPr>
          <w:color w:val="000000" w:themeColor="text1"/>
        </w:rPr>
        <w:t xml:space="preserve">уведомлять налоговый орган </w:t>
      </w:r>
      <w:r w:rsidR="004739ED" w:rsidRPr="004F4B43">
        <w:rPr>
          <w:color w:val="000000" w:themeColor="text1"/>
        </w:rPr>
        <w:t>о переходе на уплату страховых взносов по пониженным тарифам, установленным для организаций, осуществляющих деятельность в области информационных технологий, не требуется.</w:t>
      </w:r>
    </w:p>
    <w:p w14:paraId="487515BA" w14:textId="77777777" w:rsidR="00E608E1" w:rsidRPr="004F4B43" w:rsidRDefault="00E608E1" w:rsidP="00191FA0">
      <w:pPr>
        <w:ind w:firstLine="709"/>
        <w:jc w:val="both"/>
        <w:rPr>
          <w:color w:val="000000" w:themeColor="text1"/>
        </w:rPr>
      </w:pPr>
    </w:p>
    <w:p w14:paraId="4ECF6DBE" w14:textId="77777777" w:rsidR="009B77C2" w:rsidRPr="004F4B43" w:rsidRDefault="00280E8A" w:rsidP="00191FA0">
      <w:pPr>
        <w:pStyle w:val="a3"/>
        <w:numPr>
          <w:ilvl w:val="0"/>
          <w:numId w:val="1"/>
        </w:numPr>
        <w:ind w:left="0" w:firstLine="709"/>
        <w:jc w:val="both"/>
      </w:pPr>
      <w:r w:rsidRPr="004F4B43">
        <w:t>При продаже зарегистрированного в реестре ПП за</w:t>
      </w:r>
      <w:r w:rsidR="001D1B1C" w:rsidRPr="004F4B43">
        <w:t xml:space="preserve"> </w:t>
      </w:r>
      <w:r w:rsidRPr="004F4B43">
        <w:t xml:space="preserve">рубеж, какую льготу правильно применить </w:t>
      </w:r>
      <w:r w:rsidR="00F05DD1" w:rsidRPr="004F4B43">
        <w:t xml:space="preserve">– </w:t>
      </w:r>
      <w:r w:rsidRPr="004F4B43">
        <w:t>реализация не на территории РФ или льгота дл</w:t>
      </w:r>
      <w:r w:rsidR="001D1B1C" w:rsidRPr="004F4B43">
        <w:t>я</w:t>
      </w:r>
      <w:r w:rsidRPr="004F4B43">
        <w:t xml:space="preserve"> ИТ</w:t>
      </w:r>
      <w:r w:rsidR="009B77C2" w:rsidRPr="004F4B43">
        <w:t xml:space="preserve">? </w:t>
      </w:r>
      <w:r w:rsidR="003307E5" w:rsidRPr="004F4B43">
        <w:t>(</w:t>
      </w:r>
      <w:r w:rsidRPr="004F4B43">
        <w:t>Лариса Луканина</w:t>
      </w:r>
      <w:r w:rsidR="003307E5" w:rsidRPr="004F4B43">
        <w:t xml:space="preserve">, </w:t>
      </w:r>
      <w:r w:rsidR="00437FC6" w:rsidRPr="004F4B43">
        <w:t>lukl@1c.ru</w:t>
      </w:r>
      <w:r w:rsidR="003307E5" w:rsidRPr="004F4B43">
        <w:t>)</w:t>
      </w:r>
    </w:p>
    <w:p w14:paraId="06B1DE74" w14:textId="77777777" w:rsidR="00437FC6" w:rsidRPr="004F4B43" w:rsidRDefault="00437FC6" w:rsidP="00437FC6">
      <w:pPr>
        <w:ind w:firstLine="709"/>
        <w:jc w:val="both"/>
      </w:pPr>
      <w:r w:rsidRPr="004F4B43">
        <w:t>В соответствии с подпунктом 26 пункта 2 статьи 149 НК РФ не подлежит налогообложению (освобождается от налогообложения) реализация (а также передача, выполнение, оказание для собственных нужд) на территории Российской Федераци</w:t>
      </w:r>
      <w:r w:rsidR="007B13BB" w:rsidRPr="004F4B43">
        <w:t>и</w:t>
      </w:r>
      <w:r w:rsidRPr="004F4B43">
        <w:t xml:space="preserve"> исключительных прав  на программы для электронных вычислительных машин и базы данных, включенные в единый реестр российских программ для электронных вычислительных машин и баз данных, прав на использование таких программ и баз данных (включая обновления к ним и дополнительные функциональные возможности), в том числе путем предоставления удаленного доступа к ним через информационно-телекоммуникационную сеть "Интернет".</w:t>
      </w:r>
    </w:p>
    <w:p w14:paraId="70AFC61B" w14:textId="77777777" w:rsidR="005C57D1" w:rsidRPr="004F4B43" w:rsidRDefault="005C57D1" w:rsidP="005C57D1">
      <w:pPr>
        <w:ind w:firstLine="709"/>
        <w:jc w:val="both"/>
      </w:pPr>
      <w:r w:rsidRPr="004F4B43">
        <w:t xml:space="preserve">Следовательно, освобождение от НДС, предусмотренное подпунктом 26 пункта 2 статьи 149 НК РФ применяется только при реализации исключительных прав на программы для электронных вычислительных машин и базы данных, прав на их использование на территории Российской Федерации. </w:t>
      </w:r>
    </w:p>
    <w:p w14:paraId="224FDBF8" w14:textId="77777777" w:rsidR="009C5A01" w:rsidRPr="004F4B43" w:rsidRDefault="005C57D1" w:rsidP="00437FC6">
      <w:pPr>
        <w:ind w:firstLine="709"/>
        <w:jc w:val="both"/>
      </w:pPr>
      <w:r w:rsidRPr="004F4B43">
        <w:t>Вместе с тем м</w:t>
      </w:r>
      <w:r w:rsidR="001B2931" w:rsidRPr="004F4B43">
        <w:t xml:space="preserve">есто реализации </w:t>
      </w:r>
      <w:r w:rsidR="00E47F74" w:rsidRPr="004F4B43">
        <w:t>работ (услуг) в соответствии с подпунктом 4 пункта 1 статьи 148 НК РФ определяется по месту деятельности покупателя таких услуг.</w:t>
      </w:r>
      <w:r w:rsidR="00D73B32" w:rsidRPr="004F4B43">
        <w:t xml:space="preserve"> Данное</w:t>
      </w:r>
      <w:r w:rsidR="009C5A01" w:rsidRPr="004F4B43">
        <w:t xml:space="preserve"> положение применяется, в том числе:</w:t>
      </w:r>
    </w:p>
    <w:p w14:paraId="6CB66AC5" w14:textId="77777777" w:rsidR="001B2931" w:rsidRPr="004F4B43" w:rsidRDefault="009C5A01" w:rsidP="00437FC6">
      <w:pPr>
        <w:ind w:firstLine="709"/>
        <w:jc w:val="both"/>
      </w:pPr>
      <w:r w:rsidRPr="004F4B43">
        <w:t xml:space="preserve">- </w:t>
      </w:r>
      <w:r w:rsidR="00816332" w:rsidRPr="004F4B43">
        <w:t xml:space="preserve">при </w:t>
      </w:r>
      <w:r w:rsidRPr="004F4B43">
        <w:t>передаче, предоставлению патентов, лицензий, торговых марок, авторских прав или иных аналогичных прав, за исключением услуг, указанных в пункте 1 статьи 174.2 НК РФ;</w:t>
      </w:r>
    </w:p>
    <w:p w14:paraId="2D2AF1D1" w14:textId="77777777" w:rsidR="009C5A01" w:rsidRPr="004F4B43" w:rsidRDefault="009C5A01" w:rsidP="00437FC6">
      <w:pPr>
        <w:ind w:firstLine="709"/>
        <w:jc w:val="both"/>
      </w:pPr>
      <w:r w:rsidRPr="004F4B43">
        <w:t xml:space="preserve">- </w:t>
      </w:r>
      <w:r w:rsidR="00816332" w:rsidRPr="004F4B43">
        <w:t xml:space="preserve">при </w:t>
      </w:r>
      <w:r w:rsidRPr="004F4B43">
        <w:t xml:space="preserve">оказании услуг (выполнении работ) по разработке программ для ЭВМ и баз данных (программных средств и информационных продуктов вычислительной техники), их адаптации и модификации, за исключением услуг, указанных в  пункте 1 статьи 174.2 </w:t>
      </w:r>
      <w:r w:rsidR="001320FA" w:rsidRPr="004F4B43">
        <w:br/>
      </w:r>
      <w:r w:rsidRPr="004F4B43">
        <w:t>НК РФ.</w:t>
      </w:r>
    </w:p>
    <w:p w14:paraId="638BA847" w14:textId="77777777" w:rsidR="001B2931" w:rsidRPr="004F4B43" w:rsidRDefault="005C57D1" w:rsidP="00437FC6">
      <w:pPr>
        <w:ind w:firstLine="709"/>
        <w:jc w:val="both"/>
      </w:pPr>
      <w:r w:rsidRPr="004F4B43">
        <w:t xml:space="preserve">Таким образом, </w:t>
      </w:r>
      <w:r w:rsidR="00075953" w:rsidRPr="004F4B43">
        <w:t>в</w:t>
      </w:r>
      <w:r w:rsidR="002D5CC2" w:rsidRPr="004F4B43">
        <w:t xml:space="preserve"> рассматриваемой ситуации </w:t>
      </w:r>
      <w:r w:rsidR="008F0254" w:rsidRPr="004F4B43">
        <w:t>подлежа</w:t>
      </w:r>
      <w:r w:rsidR="00075953" w:rsidRPr="004F4B43">
        <w:t xml:space="preserve">т применению </w:t>
      </w:r>
      <w:r w:rsidR="002D5CC2" w:rsidRPr="004F4B43">
        <w:t>положения подпункта 4 пункта 1 статьи 148 НК РФ.</w:t>
      </w:r>
    </w:p>
    <w:p w14:paraId="7FC3A553" w14:textId="77777777" w:rsidR="00A75553" w:rsidRPr="004F4B43" w:rsidRDefault="00A75553" w:rsidP="00A75553">
      <w:pPr>
        <w:ind w:firstLine="709"/>
        <w:jc w:val="both"/>
      </w:pPr>
    </w:p>
    <w:p w14:paraId="0FAA52D2" w14:textId="56966EE3" w:rsidR="00A75553" w:rsidRPr="003A4B67" w:rsidRDefault="00A75553" w:rsidP="00614B73">
      <w:pPr>
        <w:ind w:firstLine="709"/>
        <w:jc w:val="both"/>
      </w:pPr>
      <w:r w:rsidRPr="003A4B67">
        <w:t xml:space="preserve">Дополнительно сообщаем, что настоящий документ не содержит правовых норм или общих правил, конкретизирующих нормативные предписания, и не является нормативным правовым актом. </w:t>
      </w:r>
      <w:r w:rsidR="000F447C" w:rsidRPr="003A4B67">
        <w:t xml:space="preserve">Представленная выше информация </w:t>
      </w:r>
      <w:r w:rsidRPr="003A4B67">
        <w:t>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</w:t>
      </w:r>
      <w:r w:rsidR="00E14D8B" w:rsidRPr="003A4B67">
        <w:t xml:space="preserve"> выше</w:t>
      </w:r>
      <w:r w:rsidRPr="003A4B67">
        <w:t>.</w:t>
      </w:r>
    </w:p>
    <w:p w14:paraId="3D841F13" w14:textId="20FF14B5" w:rsidR="009F4B85" w:rsidRPr="004110C9" w:rsidRDefault="003A4B67" w:rsidP="004110C9">
      <w:pPr>
        <w:ind w:firstLine="709"/>
        <w:jc w:val="both"/>
        <w:rPr>
          <w:sz w:val="26"/>
          <w:szCs w:val="26"/>
        </w:rPr>
      </w:pPr>
      <w:r>
        <w:t>З</w:t>
      </w:r>
      <w:r w:rsidRPr="003A4B67">
        <w:t>аконодательством Российской Федерации не предусмотрено предоставление налоговыми органами консультационных услуг налогоплательщикам</w:t>
      </w:r>
      <w:r>
        <w:t>.</w:t>
      </w:r>
    </w:p>
    <w:sectPr w:rsidR="009F4B85" w:rsidRPr="004110C9" w:rsidSect="000140D1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1BAEB" w14:textId="77777777" w:rsidR="00930FA1" w:rsidRDefault="00930FA1" w:rsidP="009008F2">
      <w:r>
        <w:separator/>
      </w:r>
    </w:p>
  </w:endnote>
  <w:endnote w:type="continuationSeparator" w:id="0">
    <w:p w14:paraId="43A9A5EC" w14:textId="77777777" w:rsidR="00930FA1" w:rsidRDefault="00930FA1" w:rsidP="0090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96688565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C8AE98C" w14:textId="77777777" w:rsidR="009008F2" w:rsidRDefault="00504C5E" w:rsidP="0095737A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9008F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82E9771" w14:textId="77777777" w:rsidR="009008F2" w:rsidRDefault="009008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70001084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0EA7816" w14:textId="77777777" w:rsidR="009008F2" w:rsidRDefault="00504C5E" w:rsidP="0095737A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9008F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54FBE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E0DB477" w14:textId="77777777" w:rsidR="009008F2" w:rsidRDefault="009008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1BEE8" w14:textId="77777777" w:rsidR="00930FA1" w:rsidRDefault="00930FA1" w:rsidP="009008F2">
      <w:r>
        <w:separator/>
      </w:r>
    </w:p>
  </w:footnote>
  <w:footnote w:type="continuationSeparator" w:id="0">
    <w:p w14:paraId="3F37C063" w14:textId="77777777" w:rsidR="00930FA1" w:rsidRDefault="00930FA1" w:rsidP="0090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10C"/>
    <w:multiLevelType w:val="hybridMultilevel"/>
    <w:tmpl w:val="6B94973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>
    <w:nsid w:val="341B3CBA"/>
    <w:multiLevelType w:val="hybridMultilevel"/>
    <w:tmpl w:val="FD2C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6BCB"/>
    <w:multiLevelType w:val="hybridMultilevel"/>
    <w:tmpl w:val="2EB2A832"/>
    <w:lvl w:ilvl="0" w:tplc="3A2282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0D1"/>
    <w:rsid w:val="000140D1"/>
    <w:rsid w:val="000173F6"/>
    <w:rsid w:val="00023939"/>
    <w:rsid w:val="00025C64"/>
    <w:rsid w:val="00035A52"/>
    <w:rsid w:val="0003650A"/>
    <w:rsid w:val="00047A74"/>
    <w:rsid w:val="00050E23"/>
    <w:rsid w:val="00055B77"/>
    <w:rsid w:val="00056F27"/>
    <w:rsid w:val="000576BE"/>
    <w:rsid w:val="000605A6"/>
    <w:rsid w:val="00061A8A"/>
    <w:rsid w:val="00066EFE"/>
    <w:rsid w:val="0007293E"/>
    <w:rsid w:val="00075953"/>
    <w:rsid w:val="00090EC6"/>
    <w:rsid w:val="000B5387"/>
    <w:rsid w:val="000C5AD7"/>
    <w:rsid w:val="000C6A08"/>
    <w:rsid w:val="000C6DFE"/>
    <w:rsid w:val="000D1C4E"/>
    <w:rsid w:val="000D2DDB"/>
    <w:rsid w:val="000D44F6"/>
    <w:rsid w:val="000E20C4"/>
    <w:rsid w:val="000E3373"/>
    <w:rsid w:val="000E3E1D"/>
    <w:rsid w:val="000E7D66"/>
    <w:rsid w:val="000F447C"/>
    <w:rsid w:val="00117F9D"/>
    <w:rsid w:val="00131A75"/>
    <w:rsid w:val="001320FA"/>
    <w:rsid w:val="001437AF"/>
    <w:rsid w:val="00143FCF"/>
    <w:rsid w:val="00145EC0"/>
    <w:rsid w:val="00154EA0"/>
    <w:rsid w:val="00167156"/>
    <w:rsid w:val="0017295F"/>
    <w:rsid w:val="00186F3B"/>
    <w:rsid w:val="0019039A"/>
    <w:rsid w:val="00191FA0"/>
    <w:rsid w:val="001972B6"/>
    <w:rsid w:val="001A1A16"/>
    <w:rsid w:val="001A2322"/>
    <w:rsid w:val="001A5DDB"/>
    <w:rsid w:val="001B2931"/>
    <w:rsid w:val="001B4B57"/>
    <w:rsid w:val="001D1B1C"/>
    <w:rsid w:val="001E0358"/>
    <w:rsid w:val="001E5B2C"/>
    <w:rsid w:val="001F03A1"/>
    <w:rsid w:val="001F5DC3"/>
    <w:rsid w:val="00206717"/>
    <w:rsid w:val="00226793"/>
    <w:rsid w:val="00235D46"/>
    <w:rsid w:val="002552A0"/>
    <w:rsid w:val="002629D9"/>
    <w:rsid w:val="002676EA"/>
    <w:rsid w:val="00270FCB"/>
    <w:rsid w:val="00280E8A"/>
    <w:rsid w:val="00290E8C"/>
    <w:rsid w:val="002B243C"/>
    <w:rsid w:val="002B2E89"/>
    <w:rsid w:val="002B6026"/>
    <w:rsid w:val="002C109D"/>
    <w:rsid w:val="002D5CC2"/>
    <w:rsid w:val="002E05FA"/>
    <w:rsid w:val="002E324D"/>
    <w:rsid w:val="002E6CC4"/>
    <w:rsid w:val="002F4FD9"/>
    <w:rsid w:val="00305797"/>
    <w:rsid w:val="00305955"/>
    <w:rsid w:val="00306FE3"/>
    <w:rsid w:val="00311163"/>
    <w:rsid w:val="0032013D"/>
    <w:rsid w:val="00326A9A"/>
    <w:rsid w:val="003307E5"/>
    <w:rsid w:val="00341D4D"/>
    <w:rsid w:val="00355488"/>
    <w:rsid w:val="00376547"/>
    <w:rsid w:val="00381EB2"/>
    <w:rsid w:val="00387788"/>
    <w:rsid w:val="00395750"/>
    <w:rsid w:val="00395D96"/>
    <w:rsid w:val="0039640E"/>
    <w:rsid w:val="003A2D21"/>
    <w:rsid w:val="003A4B67"/>
    <w:rsid w:val="003A4D52"/>
    <w:rsid w:val="003A4E84"/>
    <w:rsid w:val="003B6722"/>
    <w:rsid w:val="003C1DA8"/>
    <w:rsid w:val="003C6395"/>
    <w:rsid w:val="003D3B09"/>
    <w:rsid w:val="003E6939"/>
    <w:rsid w:val="004110C9"/>
    <w:rsid w:val="0041573D"/>
    <w:rsid w:val="00416D47"/>
    <w:rsid w:val="00417D33"/>
    <w:rsid w:val="004359A4"/>
    <w:rsid w:val="00435D8B"/>
    <w:rsid w:val="00437FC6"/>
    <w:rsid w:val="004404B2"/>
    <w:rsid w:val="00450D97"/>
    <w:rsid w:val="00454FBE"/>
    <w:rsid w:val="004616ED"/>
    <w:rsid w:val="00464ABF"/>
    <w:rsid w:val="004739ED"/>
    <w:rsid w:val="0047490C"/>
    <w:rsid w:val="004A2942"/>
    <w:rsid w:val="004A799A"/>
    <w:rsid w:val="004B3478"/>
    <w:rsid w:val="004C2F15"/>
    <w:rsid w:val="004E5D92"/>
    <w:rsid w:val="004E786C"/>
    <w:rsid w:val="004F4B43"/>
    <w:rsid w:val="005018F0"/>
    <w:rsid w:val="00504C5E"/>
    <w:rsid w:val="00507232"/>
    <w:rsid w:val="00513B2E"/>
    <w:rsid w:val="00516453"/>
    <w:rsid w:val="00516F16"/>
    <w:rsid w:val="005230DD"/>
    <w:rsid w:val="00524C21"/>
    <w:rsid w:val="00526E30"/>
    <w:rsid w:val="005274D6"/>
    <w:rsid w:val="00531336"/>
    <w:rsid w:val="00535F5D"/>
    <w:rsid w:val="005B2275"/>
    <w:rsid w:val="005C57D1"/>
    <w:rsid w:val="005D7981"/>
    <w:rsid w:val="005F2D7A"/>
    <w:rsid w:val="005F5A26"/>
    <w:rsid w:val="0060429F"/>
    <w:rsid w:val="00614B73"/>
    <w:rsid w:val="00623D09"/>
    <w:rsid w:val="00625355"/>
    <w:rsid w:val="006269E5"/>
    <w:rsid w:val="00634106"/>
    <w:rsid w:val="0065326B"/>
    <w:rsid w:val="006557AD"/>
    <w:rsid w:val="00664B48"/>
    <w:rsid w:val="0066526D"/>
    <w:rsid w:val="0068321D"/>
    <w:rsid w:val="00697693"/>
    <w:rsid w:val="00697844"/>
    <w:rsid w:val="006C66EE"/>
    <w:rsid w:val="006E02B9"/>
    <w:rsid w:val="006E5FE9"/>
    <w:rsid w:val="006F6082"/>
    <w:rsid w:val="00710F1E"/>
    <w:rsid w:val="0071121D"/>
    <w:rsid w:val="00722073"/>
    <w:rsid w:val="0072437C"/>
    <w:rsid w:val="00725382"/>
    <w:rsid w:val="0074500C"/>
    <w:rsid w:val="00751A61"/>
    <w:rsid w:val="00770552"/>
    <w:rsid w:val="007766F2"/>
    <w:rsid w:val="00784BD8"/>
    <w:rsid w:val="00786BB4"/>
    <w:rsid w:val="00790ED7"/>
    <w:rsid w:val="007A3882"/>
    <w:rsid w:val="007B0BC8"/>
    <w:rsid w:val="007B13BB"/>
    <w:rsid w:val="007C75CE"/>
    <w:rsid w:val="007F24BC"/>
    <w:rsid w:val="007F7AB9"/>
    <w:rsid w:val="008004FB"/>
    <w:rsid w:val="00816332"/>
    <w:rsid w:val="00823E9A"/>
    <w:rsid w:val="00824E58"/>
    <w:rsid w:val="008276D7"/>
    <w:rsid w:val="00830ED5"/>
    <w:rsid w:val="00831F6E"/>
    <w:rsid w:val="00832613"/>
    <w:rsid w:val="0084329B"/>
    <w:rsid w:val="00846EB6"/>
    <w:rsid w:val="0085026A"/>
    <w:rsid w:val="0085456E"/>
    <w:rsid w:val="0086479C"/>
    <w:rsid w:val="00873921"/>
    <w:rsid w:val="00873E95"/>
    <w:rsid w:val="00880278"/>
    <w:rsid w:val="00885677"/>
    <w:rsid w:val="00893AC5"/>
    <w:rsid w:val="008F0254"/>
    <w:rsid w:val="009008F2"/>
    <w:rsid w:val="009202B1"/>
    <w:rsid w:val="00930FA1"/>
    <w:rsid w:val="0095057F"/>
    <w:rsid w:val="00951224"/>
    <w:rsid w:val="009551F6"/>
    <w:rsid w:val="00960C28"/>
    <w:rsid w:val="00976CB2"/>
    <w:rsid w:val="009B2CA0"/>
    <w:rsid w:val="009B2D98"/>
    <w:rsid w:val="009B77C2"/>
    <w:rsid w:val="009C5A01"/>
    <w:rsid w:val="009D2FCB"/>
    <w:rsid w:val="009E386F"/>
    <w:rsid w:val="009E540E"/>
    <w:rsid w:val="009F2614"/>
    <w:rsid w:val="009F4B85"/>
    <w:rsid w:val="00A001B4"/>
    <w:rsid w:val="00A11878"/>
    <w:rsid w:val="00A13D0C"/>
    <w:rsid w:val="00A13D37"/>
    <w:rsid w:val="00A13D68"/>
    <w:rsid w:val="00A2263C"/>
    <w:rsid w:val="00A42AFA"/>
    <w:rsid w:val="00A63416"/>
    <w:rsid w:val="00A754BA"/>
    <w:rsid w:val="00A75553"/>
    <w:rsid w:val="00A81A30"/>
    <w:rsid w:val="00A97BC6"/>
    <w:rsid w:val="00AA0D59"/>
    <w:rsid w:val="00AA1672"/>
    <w:rsid w:val="00AA5045"/>
    <w:rsid w:val="00AA5EF8"/>
    <w:rsid w:val="00AB19F0"/>
    <w:rsid w:val="00AD5CDF"/>
    <w:rsid w:val="00AD6EAC"/>
    <w:rsid w:val="00AF2FE5"/>
    <w:rsid w:val="00AF3EE8"/>
    <w:rsid w:val="00AF53AB"/>
    <w:rsid w:val="00B22E8C"/>
    <w:rsid w:val="00B25B18"/>
    <w:rsid w:val="00B37B5A"/>
    <w:rsid w:val="00B409C3"/>
    <w:rsid w:val="00B5708E"/>
    <w:rsid w:val="00B675B3"/>
    <w:rsid w:val="00B86CE1"/>
    <w:rsid w:val="00B90FD0"/>
    <w:rsid w:val="00B92517"/>
    <w:rsid w:val="00B93D19"/>
    <w:rsid w:val="00B97EF7"/>
    <w:rsid w:val="00BA4E96"/>
    <w:rsid w:val="00BB6468"/>
    <w:rsid w:val="00BD0EDF"/>
    <w:rsid w:val="00BE790C"/>
    <w:rsid w:val="00BF4FEC"/>
    <w:rsid w:val="00C129DD"/>
    <w:rsid w:val="00C374CA"/>
    <w:rsid w:val="00C427F3"/>
    <w:rsid w:val="00C45C0F"/>
    <w:rsid w:val="00C83E79"/>
    <w:rsid w:val="00C85543"/>
    <w:rsid w:val="00C948A7"/>
    <w:rsid w:val="00C96983"/>
    <w:rsid w:val="00C96C63"/>
    <w:rsid w:val="00CA27BA"/>
    <w:rsid w:val="00CA4CE4"/>
    <w:rsid w:val="00CA5C29"/>
    <w:rsid w:val="00CB7D0E"/>
    <w:rsid w:val="00CC53F1"/>
    <w:rsid w:val="00CC5C91"/>
    <w:rsid w:val="00CD6E95"/>
    <w:rsid w:val="00CE0FC3"/>
    <w:rsid w:val="00CF3D09"/>
    <w:rsid w:val="00CF7B12"/>
    <w:rsid w:val="00D22A81"/>
    <w:rsid w:val="00D253A8"/>
    <w:rsid w:val="00D4285F"/>
    <w:rsid w:val="00D467EF"/>
    <w:rsid w:val="00D60CC9"/>
    <w:rsid w:val="00D73B32"/>
    <w:rsid w:val="00D8327D"/>
    <w:rsid w:val="00D92956"/>
    <w:rsid w:val="00DA409D"/>
    <w:rsid w:val="00DA4C55"/>
    <w:rsid w:val="00DB0469"/>
    <w:rsid w:val="00DB3E65"/>
    <w:rsid w:val="00DB59FD"/>
    <w:rsid w:val="00DB5FF8"/>
    <w:rsid w:val="00DC49EF"/>
    <w:rsid w:val="00DD012F"/>
    <w:rsid w:val="00DD22AE"/>
    <w:rsid w:val="00DD4F95"/>
    <w:rsid w:val="00DD709F"/>
    <w:rsid w:val="00DE3AFC"/>
    <w:rsid w:val="00DF7D26"/>
    <w:rsid w:val="00E053BA"/>
    <w:rsid w:val="00E14D8B"/>
    <w:rsid w:val="00E162CD"/>
    <w:rsid w:val="00E16B4C"/>
    <w:rsid w:val="00E45F04"/>
    <w:rsid w:val="00E462C0"/>
    <w:rsid w:val="00E47F74"/>
    <w:rsid w:val="00E5338C"/>
    <w:rsid w:val="00E54DB3"/>
    <w:rsid w:val="00E5510A"/>
    <w:rsid w:val="00E553E2"/>
    <w:rsid w:val="00E608E1"/>
    <w:rsid w:val="00E6578A"/>
    <w:rsid w:val="00E67119"/>
    <w:rsid w:val="00E71016"/>
    <w:rsid w:val="00E7284B"/>
    <w:rsid w:val="00E741E2"/>
    <w:rsid w:val="00E744F4"/>
    <w:rsid w:val="00E74EE0"/>
    <w:rsid w:val="00E81AC3"/>
    <w:rsid w:val="00EC3EE6"/>
    <w:rsid w:val="00ED0B2D"/>
    <w:rsid w:val="00ED2300"/>
    <w:rsid w:val="00EE1E98"/>
    <w:rsid w:val="00EE6DD2"/>
    <w:rsid w:val="00EF339F"/>
    <w:rsid w:val="00F020C0"/>
    <w:rsid w:val="00F05DD1"/>
    <w:rsid w:val="00F11862"/>
    <w:rsid w:val="00F1783D"/>
    <w:rsid w:val="00F17C6F"/>
    <w:rsid w:val="00F304B4"/>
    <w:rsid w:val="00F449AE"/>
    <w:rsid w:val="00F51535"/>
    <w:rsid w:val="00F53CF0"/>
    <w:rsid w:val="00F64898"/>
    <w:rsid w:val="00F71F85"/>
    <w:rsid w:val="00F726DE"/>
    <w:rsid w:val="00F77A62"/>
    <w:rsid w:val="00F85D47"/>
    <w:rsid w:val="00F97CC9"/>
    <w:rsid w:val="00FA08A0"/>
    <w:rsid w:val="00FA135B"/>
    <w:rsid w:val="00FB1C49"/>
    <w:rsid w:val="00FC1416"/>
    <w:rsid w:val="00FE44FD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3D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6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7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0EC6"/>
    <w:rPr>
      <w:color w:val="605E5C"/>
      <w:shd w:val="clear" w:color="auto" w:fill="E1DFDD"/>
    </w:rPr>
  </w:style>
  <w:style w:type="paragraph" w:customStyle="1" w:styleId="ConsPlusNormal">
    <w:name w:val="ConsPlusNormal"/>
    <w:rsid w:val="0025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427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27F3"/>
  </w:style>
  <w:style w:type="character" w:customStyle="1" w:styleId="10">
    <w:name w:val="Заголовок 1 Знак"/>
    <w:basedOn w:val="a0"/>
    <w:link w:val="1"/>
    <w:uiPriority w:val="9"/>
    <w:rsid w:val="00186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er"/>
    <w:basedOn w:val="a"/>
    <w:link w:val="a7"/>
    <w:uiPriority w:val="99"/>
    <w:unhideWhenUsed/>
    <w:rsid w:val="009008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9008F2"/>
  </w:style>
  <w:style w:type="character" w:customStyle="1" w:styleId="blk">
    <w:name w:val="blk"/>
    <w:basedOn w:val="a0"/>
    <w:rsid w:val="00A63416"/>
  </w:style>
  <w:style w:type="character" w:customStyle="1" w:styleId="nobr">
    <w:name w:val="nobr"/>
    <w:basedOn w:val="a0"/>
    <w:rsid w:val="00A63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Мария Николаевна</dc:creator>
  <cp:lastModifiedBy>Драгунская Светлана Александровна</cp:lastModifiedBy>
  <cp:revision>690</cp:revision>
  <dcterms:created xsi:type="dcterms:W3CDTF">2020-11-26T12:27:00Z</dcterms:created>
  <dcterms:modified xsi:type="dcterms:W3CDTF">2021-01-25T11:35:00Z</dcterms:modified>
</cp:coreProperties>
</file>